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SECTION-A (Biology)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Q1. (c) increase in the lower trophic level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Q2. (c) E → C → B → D → 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Q3. b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Q4. A) Digestive enzymes cannot digest the inner lining because mucus protects the lining.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(B) Transport system in plants is slow due to low energy needs and presence of dead cells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(C) Aquatic vertebrates have single circulation, terrestrial have double circulation.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(D) In daytime transpiration is high, pulling water faster.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(E) Glomeruli act like dialysis bags due to filtration like artificial dialysis membrane.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Q5. (c) A has a pH greater than 7 and B has a pH less than 7.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Q6. i = Diamond has a high boiling point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ii = Does not conduct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iii =  conduct in molten state as free ions are present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iv = does not conduct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(B) Potassium bromide conducts electricity when molten, indicating presence of ions, so it is ionic.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Q7. (A) Chemical name of P → Ethanol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(B) Other uses → as antiseptic, as fuel, solvent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(C) C2H5OH Acidified K2Cr2O7—&gt; CH3COOH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(D) 2Na + 2CH3COOH → 2CH3COONa + H2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(E) Dehydration of ethanol occurs C2H5OH Conc H₂SO4—&gt; C₂H₄ + H₂O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369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6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